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5A36175F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412C51">
        <w:rPr>
          <w:sz w:val="24"/>
          <w:szCs w:val="24"/>
        </w:rPr>
        <w:t>91</w:t>
      </w:r>
      <w:r w:rsidR="002B52C7">
        <w:rPr>
          <w:sz w:val="24"/>
          <w:szCs w:val="24"/>
        </w:rPr>
        <w:t>/2</w:t>
      </w:r>
      <w:r w:rsidR="00EB6C0D"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412C51">
        <w:rPr>
          <w:sz w:val="24"/>
          <w:szCs w:val="24"/>
        </w:rPr>
        <w:t>HR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65076E12" w:rsidR="00802E9B" w:rsidRPr="00412C51" w:rsidRDefault="00AE09A2" w:rsidP="00A2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25323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84378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886E88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E16B7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2E62CB37" w:rsidR="00802E9B" w:rsidRPr="00412C51" w:rsidRDefault="00802E9B" w:rsidP="005110F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Przekroczenie poziomu informowania wystąpiło na stac</w:t>
            </w:r>
            <w:r w:rsidR="00EC361A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jach</w:t>
            </w:r>
            <w:r w:rsidR="000C6CA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="000C6CA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</w:t>
            </w:r>
            <w:r w:rsidR="004B607E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Gliwicach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Sosnowcu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), </w:t>
            </w:r>
            <w:r w:rsidR="00412C5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Częstochowie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AK (stacja komunikacyjna)</w:t>
            </w:r>
            <w:r w:rsidR="00412C5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122D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  <w:r w:rsidR="007122D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7122D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6F1B3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Wodzisławiu Śląskim (1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Żywcu</w:t>
            </w:r>
            <w:r w:rsidR="002E7863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  <w:r w:rsidR="002E7863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2E7863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2E7863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6F1B3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Lublińcu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131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5F11E7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Zawierciu (12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DE1C5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Dąbrowie Górniczej</w:t>
            </w:r>
            <w:r w:rsidR="00105642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E1C5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(12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DE1C5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DE1C5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DE1C5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Katowicach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zęstochowie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874D4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B80310">
        <w:trPr>
          <w:trHeight w:val="2732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2B43B209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596CB9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miasto Gliwice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miasto Sosnowiec, powiat miasto Jaworzno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miasto Częstochowa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miasto Dąbrowa Górnicza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miasto Katowice, powiat miasto Chorzów, powiat miasto Mysłowice, powiat miasto Siemianowice Śląskie</w:t>
            </w:r>
            <w:r w:rsidR="00874D41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gliwicki, powiat tarnogórski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częstochowski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wodzisławski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żywiecki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lubliniecki, powiat kłobucki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zawierciański, powiat myszkowski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01289E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powiat będziński</w:t>
            </w:r>
            <w:r w:rsidR="002E7863" w:rsidRPr="00C654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B80310">
        <w:trPr>
          <w:trHeight w:val="688"/>
        </w:trPr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16E9318A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128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351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="000128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532</w:t>
            </w:r>
            <w:r w:rsidR="003511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128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982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323F4DDF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sytuacji wzmożonej emisji z sektora bytowo-komunalnego</w:t>
            </w:r>
            <w:r w:rsidR="00874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74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="00874D41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wzmożonego ruch</w:t>
            </w:r>
            <w:r w:rsidR="00B80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="00874D41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874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E14A9B1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</w:t>
            </w:r>
            <w:r w:rsidR="00B80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/ALARMOWEGO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E9B" w:rsidRPr="00AB45F3" w14:paraId="745A8965" w14:textId="77777777" w:rsidTr="00B80310">
        <w:trPr>
          <w:trHeight w:val="1147"/>
        </w:trPr>
        <w:tc>
          <w:tcPr>
            <w:tcW w:w="9042" w:type="dxa"/>
            <w:shd w:val="clear" w:color="auto" w:fill="auto"/>
            <w:vAlign w:val="center"/>
          </w:tcPr>
          <w:p w14:paraId="0FDEE096" w14:textId="33528F90" w:rsidR="00802E9B" w:rsidRPr="0010717A" w:rsidRDefault="00602B8F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Zgodnie z prognozą jakości powietrza</w:t>
            </w:r>
            <w:r w:rsidR="00AE09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dniu 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6C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83518D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na ww. obszarze</w:t>
            </w:r>
            <w:r w:rsidR="0013792F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występuje </w:t>
            </w:r>
            <w:r w:rsidR="00A71A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E09A2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dalszym ciągu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przekroczenia poziomu informowania </w:t>
            </w:r>
            <w:r w:rsidR="005F11E7">
              <w:rPr>
                <w:rFonts w:ascii="Times New Roman" w:eastAsia="Calibri" w:hAnsi="Times New Roman" w:cs="Times New Roman"/>
                <w:sz w:val="24"/>
                <w:szCs w:val="24"/>
              </w:rPr>
              <w:t>lub alarmowego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zawieszonego PM10 w powietrzu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, co zostało ujęte w odrębny</w:t>
            </w:r>
            <w:r w:rsidR="00865EBF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 w:rsidR="00865EBF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B80310">
        <w:trPr>
          <w:trHeight w:val="2966"/>
        </w:trPr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FC10FBF" w14:textId="72222628" w:rsidR="00843786" w:rsidRPr="00AB45F3" w:rsidRDefault="00B80310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</w:tc>
      </w:tr>
    </w:tbl>
    <w:p w14:paraId="1BE63AD0" w14:textId="77777777" w:rsidR="0010717A" w:rsidRPr="00B80310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003D2A26" w:rsidR="0010717A" w:rsidRPr="00E37C60" w:rsidRDefault="00FC45D3" w:rsidP="00451A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C96C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24268047" w14:textId="77777777" w:rsidR="00412C51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A3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37C78A9" w14:textId="7413E188" w:rsidR="0010717A" w:rsidRPr="00412C51" w:rsidRDefault="008676C9" w:rsidP="00412C5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56EED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Dz. U. z 202</w:t>
            </w:r>
            <w:r w:rsidR="002E7863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2E7863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AB45F3" w:rsidRDefault="00B80310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2B08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7BCF9F38" w14:textId="36076973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F9A6" w14:textId="77777777" w:rsidR="00DA3EDC" w:rsidRDefault="00DA3EDC" w:rsidP="00656169">
      <w:pPr>
        <w:spacing w:after="0" w:line="240" w:lineRule="auto"/>
      </w:pPr>
      <w:r>
        <w:separator/>
      </w:r>
    </w:p>
  </w:endnote>
  <w:endnote w:type="continuationSeparator" w:id="0">
    <w:p w14:paraId="60487B7E" w14:textId="77777777" w:rsidR="00DA3EDC" w:rsidRDefault="00DA3ED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E27" w14:textId="77777777" w:rsidR="00DA3EDC" w:rsidRDefault="00DA3EDC" w:rsidP="00656169">
      <w:pPr>
        <w:spacing w:after="0" w:line="240" w:lineRule="auto"/>
      </w:pPr>
      <w:r>
        <w:separator/>
      </w:r>
    </w:p>
  </w:footnote>
  <w:footnote w:type="continuationSeparator" w:id="0">
    <w:p w14:paraId="52D2DC9B" w14:textId="77777777" w:rsidR="00DA3EDC" w:rsidRDefault="00DA3ED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89E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3852"/>
    <w:rsid w:val="001756B3"/>
    <w:rsid w:val="001766CB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51112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2C51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07E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7080E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2C9C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5EBF"/>
    <w:rsid w:val="008676C9"/>
    <w:rsid w:val="00872532"/>
    <w:rsid w:val="00873130"/>
    <w:rsid w:val="00874D41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2C90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7BDC"/>
    <w:rsid w:val="008F7C36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D7162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5F3"/>
    <w:rsid w:val="00AB5039"/>
    <w:rsid w:val="00AB7B24"/>
    <w:rsid w:val="00AC0C31"/>
    <w:rsid w:val="00AC2E26"/>
    <w:rsid w:val="00AC3A61"/>
    <w:rsid w:val="00AC3A87"/>
    <w:rsid w:val="00AD31D7"/>
    <w:rsid w:val="00AD350F"/>
    <w:rsid w:val="00AE02A3"/>
    <w:rsid w:val="00AE09A2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310"/>
    <w:rsid w:val="00B80429"/>
    <w:rsid w:val="00B80563"/>
    <w:rsid w:val="00B80796"/>
    <w:rsid w:val="00B81DEA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409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CB1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1871"/>
    <w:rsid w:val="00D65ADE"/>
    <w:rsid w:val="00D722B8"/>
    <w:rsid w:val="00D7482E"/>
    <w:rsid w:val="00D762A6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1C50"/>
    <w:rsid w:val="00DE2FDB"/>
    <w:rsid w:val="00DE3A92"/>
    <w:rsid w:val="00DE53EF"/>
    <w:rsid w:val="00DF7376"/>
    <w:rsid w:val="00E05B29"/>
    <w:rsid w:val="00E17F28"/>
    <w:rsid w:val="00E377C1"/>
    <w:rsid w:val="00E37C60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391"/>
    <w:rsid w:val="00FB2438"/>
    <w:rsid w:val="00FC45D3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C6F2-6331-4E32-8B1F-58FEEF41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28</cp:revision>
  <cp:lastPrinted>2021-12-14T07:46:00Z</cp:lastPrinted>
  <dcterms:created xsi:type="dcterms:W3CDTF">2021-12-13T06:18:00Z</dcterms:created>
  <dcterms:modified xsi:type="dcterms:W3CDTF">2021-12-14T08:16:00Z</dcterms:modified>
</cp:coreProperties>
</file>